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5C" w:rsidRDefault="0043025C" w:rsidP="0043025C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bookmarkStart w:id="0" w:name="_GoBack"/>
      <w:bookmarkEnd w:id="0"/>
    </w:p>
    <w:p w:rsidR="00D37195" w:rsidRDefault="00D37195" w:rsidP="00D37195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FB250F">
        <w:rPr>
          <w:rFonts w:ascii="Lucida Sans Unicode" w:hAnsi="Lucida Sans Unicode" w:cs="Lucida Sans Unicode"/>
          <w:b/>
          <w:sz w:val="20"/>
          <w:szCs w:val="20"/>
        </w:rPr>
        <w:t>EL INSTITUTO NACIONAL DE CANCEROLOGÍA EMPRESA SOCIAL DEL ESTADO INVITA A PRESENTAR PROPUESTAS PARA CONTRATAR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EL</w:t>
      </w:r>
      <w:r w:rsidRPr="00FB250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B2035">
        <w:rPr>
          <w:rFonts w:ascii="Lucida Sans Unicode" w:hAnsi="Lucida Sans Unicode" w:cs="Lucida Sans Unicode"/>
          <w:b/>
          <w:sz w:val="20"/>
          <w:szCs w:val="20"/>
        </w:rPr>
        <w:t xml:space="preserve">REORDENAMIENTO DE LOS ESPACIOS DEL INSTITUTO NACIONAL DE CANCEROLOGÍA TENIENDO EN CUENTA LOS ESTÁNDARES </w:t>
      </w:r>
      <w:r>
        <w:rPr>
          <w:rFonts w:ascii="Lucida Sans Unicode" w:hAnsi="Lucida Sans Unicode" w:cs="Lucida Sans Unicode"/>
          <w:b/>
          <w:sz w:val="20"/>
          <w:szCs w:val="20"/>
        </w:rPr>
        <w:t>DE HABILITACIÓN Y ACREDITACIÓN,</w:t>
      </w:r>
      <w:r w:rsidRPr="002B2035">
        <w:rPr>
          <w:rFonts w:ascii="Lucida Sans Unicode" w:hAnsi="Lucida Sans Unicode" w:cs="Lucida Sans Unicode"/>
          <w:b/>
          <w:sz w:val="20"/>
          <w:szCs w:val="20"/>
        </w:rPr>
        <w:t xml:space="preserve"> ANTIGUA MORGUE OFICINAS, BAÑO GINECOLOGÍA, IMÁGENES DIAGNÓSTICAS, OFICINAS PRIMER PISO</w:t>
      </w:r>
      <w:r w:rsidRPr="00FB250F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Pr="002831B6">
        <w:rPr>
          <w:rFonts w:ascii="Lucida Sans Unicode" w:hAnsi="Lucida Sans Unicode" w:cs="Lucida Sans Unicode"/>
          <w:b/>
          <w:sz w:val="20"/>
          <w:szCs w:val="20"/>
        </w:rPr>
        <w:t>DE ACUERDO CON EL CUMPLIMIENTO DE  LAS NORMAS LEGALES Y TÉCNICAS CORRESPONDIENTES, LOS TÉRMINOS DE CONDICIONES, ANEXOS Y EL CONTRATO QUE SE CELEBRE PARA EL EFECTO.</w:t>
      </w:r>
    </w:p>
    <w:p w:rsidR="00F6761F" w:rsidRPr="006F590E" w:rsidRDefault="00BB57E5" w:rsidP="00F6761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:rsidR="00F6761F" w:rsidRPr="006F590E" w:rsidRDefault="00F6761F" w:rsidP="00F6761F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Pr="006F590E">
        <w:rPr>
          <w:rFonts w:ascii="Lucida Sans Unicode" w:hAnsi="Lucida Sans Unicode" w:cs="Lucida Sans Unicode"/>
          <w:b/>
          <w:bCs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E</w:t>
      </w:r>
      <w:r w:rsidRPr="006F590E">
        <w:rPr>
          <w:rFonts w:ascii="Lucida Sans Unicode" w:hAnsi="Lucida Sans Unicode" w:cs="Lucida Sans Unicode"/>
          <w:b/>
          <w:bCs/>
          <w:sz w:val="20"/>
          <w:szCs w:val="20"/>
        </w:rPr>
        <w:t xml:space="preserve">XO </w:t>
      </w:r>
      <w:r w:rsidR="0043025C">
        <w:rPr>
          <w:rFonts w:ascii="Lucida Sans Unicode" w:hAnsi="Lucida Sans Unicode" w:cs="Lucida Sans Unicode"/>
          <w:b/>
          <w:bCs/>
          <w:sz w:val="20"/>
          <w:szCs w:val="20"/>
        </w:rPr>
        <w:t>No. 4</w:t>
      </w:r>
    </w:p>
    <w:p w:rsidR="00F6761F" w:rsidRDefault="00D37195" w:rsidP="0043025C">
      <w:pPr>
        <w:tabs>
          <w:tab w:val="left" w:pos="1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F6761F" w:rsidRDefault="00DE5231" w:rsidP="0043025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E5231">
        <w:rPr>
          <w:rFonts w:ascii="Lucida Sans Unicode" w:hAnsi="Lucida Sans Unicode" w:cs="Lucida Sans Unicode"/>
          <w:b/>
          <w:sz w:val="20"/>
          <w:szCs w:val="20"/>
        </w:rPr>
        <w:t>CANTIDADES DE OBRA</w:t>
      </w:r>
    </w:p>
    <w:p w:rsidR="0043025C" w:rsidRPr="00F50524" w:rsidRDefault="0043025C" w:rsidP="0043025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5481"/>
        <w:gridCol w:w="927"/>
        <w:gridCol w:w="1194"/>
        <w:gridCol w:w="1213"/>
        <w:gridCol w:w="923"/>
      </w:tblGrid>
      <w:tr w:rsidR="00DE5231" w:rsidRPr="00DE5231" w:rsidTr="00371D9E">
        <w:trPr>
          <w:trHeight w:val="525"/>
        </w:trPr>
        <w:tc>
          <w:tcPr>
            <w:tcW w:w="2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6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UNITARIO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TOTAL</w:t>
            </w:r>
          </w:p>
        </w:tc>
      </w:tr>
      <w:tr w:rsidR="00DE5231" w:rsidRPr="00DE5231" w:rsidTr="00371D9E">
        <w:trPr>
          <w:trHeight w:val="307"/>
        </w:trPr>
        <w:tc>
          <w:tcPr>
            <w:tcW w:w="2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2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285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bookmarkStart w:id="1" w:name="OLE_LINK10"/>
            <w:bookmarkStart w:id="2" w:name="OLE_LINK11"/>
            <w:bookmarkStart w:id="3" w:name="OLE_LINK12"/>
            <w:r w:rsidRPr="00DE523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ADECUACIÓN IMÁGENES DIAGNÓSTICAS</w:t>
            </w:r>
            <w:bookmarkEnd w:id="1"/>
            <w:bookmarkEnd w:id="2"/>
            <w:bookmarkEnd w:id="3"/>
          </w:p>
        </w:tc>
      </w:tr>
      <w:tr w:rsidR="00DE5231" w:rsidRPr="00DE5231" w:rsidTr="00371D9E">
        <w:trPr>
          <w:trHeight w:val="402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1.1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Demolición muro E=0,15 M. incluye adecuación de filos y dilataciones.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M2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29,0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64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1.2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Retiro puertas en madera existente en transcripción, sala de lectura, archivo, oficina Carestream, y sala de recuperación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5,0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37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1.3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Desmonte, adecuación y reinstalación guardacamilla en acero inoxidable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ML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6,5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483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1.4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Construcción dintel para bano puerta incluye refuerzo y afinado.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ML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8,5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5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1.5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cielorraso en drywall incluye escotillas de inspección.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M2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72,0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4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1.6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cielorraso en súper board incluye escotilla de inspección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27,0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14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1.7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Construcción muro en bloque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M2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58,0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471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1.8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punto hidráulico 1/2" incluye regata desde el punto existente y resane.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UN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8,0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2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1.9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punto sanitario 2" incluye regata desde el punto existente y resane.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8,0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303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1.10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y aplicación pañete liso muros y estuco incluye filos y dilataciones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M2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116,0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26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1.11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y aplicación pintura en vinilo para muro incluye resanes, filos y dilataciones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M2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181,0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1.12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y aplicación pintura epóxica en muro incluye resanes, filos y dilataciones.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M2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257,0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182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1.13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media caña en PVC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ML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52,6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639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1.14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puerta vaivén en PVC blancas con visor arrancando a 1,30M, dos hojas de 0,75M cada una incluye marco y cerradura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2,0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6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1.15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de puerta en madera similar a las existentes incluye lámina protectora, marco y cerradura.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120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de Tomacorriente Normal Monofásico doble con polo a tierra 2P+T, 15A/125V color Beige. Incluye caja, 12 m cable trenzado 3x12 AWG LSZH, tubo EMT 3/4", elementos de fijación y demás elementos para su completa instalación.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1378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1.17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de Tomacorriente Regulada Monofásico doble con polo a tierra 2P+T, 15A/125V color Beige. Incluye caja, 12 m cable trenzado 3x12 AWG LSZH, tubo EMT 3/4", elementos de fijación y demás elementos para su completa instalación.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14,0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40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1.18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piso cerámico negro tipo pizarra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M2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2,0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79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1.19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enchape muro y cielorraso baño en cerámica blanco de 0,30X0,60M liso rectificado, de primera calidad incluye win metálico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23,0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2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1.20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Reparación de piso en granito pulido similar al existente incluye mediacaña, dilatación y pulido.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ML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8,5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24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1.21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Desmonte canaleta metálica de 5"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ML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9,2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989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1.22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Adecuación de salidas eléctricas en muro (corriente normal, regulada, voz y datos), actualmente en canaleta metálica sobrepuesta, incluye regata, tubería, resane, pañete, estuco y pintura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ML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9,2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53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1.23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mesón en formica lisa lavable de 0,60*1,55 M incluye patas metálicas de 0,75 M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7,0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689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1.24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de mueble en acero inoxidable 304 de 0,60*1,95 M. incluye un lavamanos, una poceta, salpicadero de 0,25 M de alto, entrepaños y puertas con manijas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ML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2,0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74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1.25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de mueble en acero inoxidable 304 de 0,60*1,65 M. incluye poceta, salpicadero de 0,25 M de alto, entrepaños y puertas con manijas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ML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1,7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24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1.26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lavamanos de incrustar en muro, color blanco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4,0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623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1.27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sanitario en cerámica incluye manos libres con sensor y kit de válvulas antivandalicas y botón de accionamiento manual tipo A &amp; A o similar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2,0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409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1.28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grifería metálica cuello de ganso o similar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35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1.29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grifería de sensor para lavamanos.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UN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418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1.30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y aplicación pintura vinílica en muro incluye resanes.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M2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37,0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526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1.31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ventana en aluminio con vidrio y batiente de ventilación de 2,10*1,6 M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261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1.32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guardacamilla en PVC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ML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26,5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34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1.33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esquinero protector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483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1.34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cortinas tipo Deco Depot o similar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ML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11,0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419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1.35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vidrio templado fijo de piso a techo incluye accesorios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16,0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31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1.35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Aseo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GL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1,0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</w:tr>
      <w:tr w:rsidR="00DE5231" w:rsidRPr="00DE5231" w:rsidTr="00371D9E">
        <w:trPr>
          <w:trHeight w:val="3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bookmarkStart w:id="4" w:name="OLE_LINK13"/>
            <w:bookmarkStart w:id="5" w:name="OLE_LINK15"/>
            <w:r w:rsidRPr="00DE5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SUBTOTAL</w:t>
            </w:r>
            <w:bookmarkEnd w:id="4"/>
            <w:bookmarkEnd w:id="5"/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DE5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ADECUACIÓN</w:t>
            </w:r>
            <w:r w:rsidRPr="00DE523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IMÁGENES DIAGNÓSTICAS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DE5231" w:rsidRDefault="00DE5231" w:rsidP="00DE5231">
      <w:pPr>
        <w:widowControl w:val="0"/>
        <w:autoSpaceDE w:val="0"/>
        <w:autoSpaceDN w:val="0"/>
        <w:adjustRightInd w:val="0"/>
      </w:pPr>
    </w:p>
    <w:p w:rsidR="00371D9E" w:rsidRDefault="00371D9E" w:rsidP="00DE5231">
      <w:pPr>
        <w:widowControl w:val="0"/>
        <w:autoSpaceDE w:val="0"/>
        <w:autoSpaceDN w:val="0"/>
        <w:adjustRightInd w:val="0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54"/>
        <w:gridCol w:w="4991"/>
        <w:gridCol w:w="68"/>
        <w:gridCol w:w="1217"/>
        <w:gridCol w:w="41"/>
        <w:gridCol w:w="1130"/>
        <w:gridCol w:w="1132"/>
        <w:gridCol w:w="921"/>
      </w:tblGrid>
      <w:tr w:rsidR="00DE5231" w:rsidRPr="00DE5231" w:rsidTr="00371D9E">
        <w:trPr>
          <w:trHeight w:val="525"/>
        </w:trPr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471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56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UNITARIO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VALOR TOTAL</w:t>
            </w:r>
          </w:p>
        </w:tc>
      </w:tr>
      <w:tr w:rsidR="00DE5231" w:rsidRPr="00DE5231" w:rsidTr="00371D9E">
        <w:trPr>
          <w:trHeight w:val="384"/>
        </w:trPr>
        <w:tc>
          <w:tcPr>
            <w:tcW w:w="40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E5231" w:rsidRPr="00DE5231" w:rsidRDefault="00DE5231" w:rsidP="00DE5231">
            <w:pPr>
              <w:numPr>
                <w:ilvl w:val="0"/>
                <w:numId w:val="3"/>
              </w:numPr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bookmarkStart w:id="6" w:name="OLE_LINK17"/>
            <w:bookmarkStart w:id="7" w:name="OLE_LINK20"/>
            <w:r w:rsidRPr="00DE523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ADECUACIÓN BAÑO Y OFICINAS SEGUNDO PISO GINECOLOGIA / CONSULTA EXTERNA</w:t>
            </w:r>
            <w:bookmarkEnd w:id="6"/>
            <w:bookmarkEnd w:id="7"/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Desmonte división metálica de 1,8*1,6 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Desmonte y reinstalación sanitario existente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Desmonte y reinstalación lavamanos existente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bookmarkStart w:id="8" w:name="OLE_LINK29"/>
            <w:bookmarkStart w:id="9" w:name="OLE_LINK30"/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2.4</w:t>
            </w:r>
            <w:bookmarkEnd w:id="8"/>
            <w:bookmarkEnd w:id="9"/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Perforación de placa 2" para pase tubería sanitaria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Perforación placa 4" para pase tubería sanitaria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de lavamanos color blanco incluye grifería ahorradora de agua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de sanitario blanco con sistema de descarga variable que optimice el ahorro de agua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Suministro e instalación orinal seco (sin agua) ecológico tipo Acuaval o similar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salida lámpara techo incluye luz led 9W, tubería, cableado, interruptor, regata y resane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Salida punto hidráulico AF incluye registro de control y tapa plástica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de tubería presión de 1/2" incluye regata y resane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Salida sanitaria de 4" incluye regata, resane y alistado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Salida sanitaria de 2" incluye regata, resane y alistado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y aplicación pintura epóxica para muro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y aplicación pintura tipo Koraza superlabable para muro incluye resanes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y aplicación pintura en vinilo para techo incluye resanes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de muro en superboard dos caras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de espejo 0,04 M tipo cristal o similar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lastRenderedPageBreak/>
              <w:t>2.19</w:t>
            </w:r>
          </w:p>
        </w:tc>
        <w:tc>
          <w:tcPr>
            <w:tcW w:w="2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de puerta en material lavable no poroso de 0,70 x 2,1 incluye marco, cerradura y rejilla de ventilación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puerta en lamina y vidrio de 2,20*1.10 incluye marco, cerradura y tope para pared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de accesorios para baño (toallero, papelera, jabonera)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de enchape blanco liso brillante formato 30*60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ventana superior en aluminio con vidrio y persiana fija de ventilación de 1,30*0,40 M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Suministro e instalación de drywall para cubrir tuberías descolgadas en oficinas mezzanine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SUBTOTAL ADECUACIÓN BAÑO Y OFICINAS SEGUNDO PISO GINECOLOGIA / CONSULTA EXTERNA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bookmarkStart w:id="10" w:name="_Hlk461099182"/>
          </w:p>
          <w:p w:rsidR="00DE5231" w:rsidRPr="00DE5231" w:rsidRDefault="00DE5231" w:rsidP="00DE5231">
            <w:pPr>
              <w:numPr>
                <w:ilvl w:val="0"/>
                <w:numId w:val="3"/>
              </w:num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ADECUACION OFICINA BIOBANCO - PATOLOGIA (ANTIGUA SALA DE AUTOPSIAS)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10"/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Desmonte ventana existente 2,3*1,5 M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bookmarkStart w:id="11" w:name="OLE_LINK31"/>
            <w:bookmarkStart w:id="12" w:name="OLE_LINK32"/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3.2</w:t>
            </w:r>
            <w:bookmarkEnd w:id="11"/>
            <w:bookmarkEnd w:id="12"/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Desmonte puerta en madera existente incluye marco metálico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3.3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Desmonte puerta en vidrio templado dos (2) hojas existentes incluye el retiro en buen estado de la bisagra hidráulica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3.4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Desmonte lámpara cielitica incluye la entrega en buen estado al área de infraestructura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3.5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Taponamiento de puntos hidrosanitarios incluye regata, tapón, resane, pañete o relleno en piso según el caso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3.6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Reparación piso en tableta de granito pulido incluye emboquillado, destroncado, pulido y brillado con esmeriles y a máquina.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3.7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Demolición muro en bloque y pañete incluye cargue y retiro de escombros con la certificación de la escombrera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3.8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Reparación media caña existente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3.9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Reparación pañete de cielorraso incluye estuco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3.10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Reparación pañete en muros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3.11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muro en bloque No. 5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3.12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dintel en concreto reforzado 20*20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3.13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de pañete liso sobre muro 1:4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3.14</w:t>
            </w:r>
          </w:p>
        </w:tc>
        <w:tc>
          <w:tcPr>
            <w:tcW w:w="2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y aplicación pintura en vinilo tipo 1, tres manos para muro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3.15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pintura en vinilo tipo 2, dos manos para cielorraso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3.16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ventana en aluminio de 2,3*1,5 incluye dos batientes para ventilación y vidrio 5 mm.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3.17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de película adhesiva tipo Sandblasting protectora para vidrio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3.18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puerta en vidrio templado corrediza incluye riel de sujeción con topes y cerradura, de 0,95*2,20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3.19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lámpara led 9 W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3.20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salida toma doble no regulada empotrada en muro incluye polo a tierra, tubería EMT 3/4", marcación de circuito, diagrama unifilar, regata y resane con estuco.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3.21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Suministro e instalación salida toma doble regulada empotrada en muro incluye polo a tierra, tubería EMT 3/4", marcación de circuito, diagrama unifilar, regata y resane con estuco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3.22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Suministro e instalación de puntos para voz y datos incluye ducteria EMT 1", cable UTP categoría 6A tipo Panduit TX o similar, Patch Cord Cat. 6A de 1 M, face plate plano doble, jack, ponchado y certificación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3.23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tubería EMT 1" en cielorraso descolgado incluye abrazaderas de sujeción y accesorios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3.24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tubería EMT 1y1/4" en cielorraso descolgado incluye abrazaderas de sujeción y accesorios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3.25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de cable potencia regulada 3*12 encauchetado tipo Centelsa o similar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3.26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de cable potencia normal 3*12 encauchetado tipo Centelsa o similar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3.27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cable estructurado categoría 6A tipo Panduit o similar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3.28</w:t>
            </w:r>
          </w:p>
        </w:tc>
        <w:tc>
          <w:tcPr>
            <w:tcW w:w="2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de termo magnéticos de 20 Amperios para riel tipo Legrand o similar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3.29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Suministro e instalación caja de paso 15*15 metálica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3.30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Suministro e instalación entrepaños en MDF o aglomerado estándar con reengruece frontal de 0,05 a 0,10 M, acabado en formica incluye soporte perimetral tres (3) lados, ancho 0,60 M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3.31</w:t>
            </w:r>
          </w:p>
        </w:tc>
        <w:tc>
          <w:tcPr>
            <w:tcW w:w="2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Suministro e instalación entrepaños en MDF o aglomerado estándar con reengruece frontal de 0,05 a 0,10 M, acabado en formica incluye soporte perimetral tres (3) lados, ancho 0,35 M 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ML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SUBTOTAL ADECUACION OFICINA BIOBANCO - PATOLOGIA (ANTIGUA SALA DE AUTOPSIAS)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OFICINAS PRIMER PISO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Demolición muro en bloque 0,15 M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M2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8,2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bookmarkStart w:id="13" w:name="OLE_LINK33"/>
            <w:bookmarkStart w:id="14" w:name="OLE_LINK34"/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4.2</w:t>
            </w:r>
            <w:bookmarkEnd w:id="13"/>
            <w:bookmarkEnd w:id="14"/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Demolición muro en súper board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M2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Desmonte tableros eléctricos de 24 circuitos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Traslado escombros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GL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Desmonte cielorraso en dry-wall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M2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Desmonte cielorraso en lamina metálica liviana incluye lámparas tipo bala y 2*48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M2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13,8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Demolición enchape blanco institucional piso y techo incluye pollo de 0,15*1,2M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M2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Desmonte tres (3) puertas en madera incluye marco metálico y una puerta doble hoja en aluminio y vidrio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Retiro de tubería, lámparas y cableado inservible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GL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Extracción de núcleos de concreto diámetro 6"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rejilla metálica de protección redonda diámetro 6"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MAMPOSTERIA Y CARPINTERIAS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Construcción dintel de 0,20*0,15M en concreto incluye acero de refuerzo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puerta en madera incluye cerradura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Construcción muro en bloque No. 4 E=0,10M incluye lineales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8,6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y aplicación pañete interior liso muros 1:4 E=1,5 CM incluye filos y dilataciones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dry wall para reparación del cielorraso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muro en dry wall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de ventana en aluminio de 0,30*0,90M incluye vidrio cristal y batiente para ventilación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Reparación sistema de cierre puerta 1,2*2,05M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ELECTRICAS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toma doble regulada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toma doble normal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21,0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2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Suministro e instalación salida punto final voz y datos incluye accesorios, cable UTP blindado categoría 6A, tubería EMT, canaleta, face plate sencillo y doble, toma RJ 45 Panduit o similar, pach Cord, pach panel, backbone y certificación de cada punto. </w:t>
            </w:r>
          </w:p>
        </w:tc>
        <w:tc>
          <w:tcPr>
            <w:tcW w:w="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Reubicación transformadora en cuarto eléctrico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Reubicación tableros con protección de 24 circuitos para ubicación en cuarto eléctrico incluye resane y estuco, filos y dilataciones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caja de empalmes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e instalación bala de LED integrados para empotrar en cielorraso D=0,10M, alta intensidad 12W máximo 120V 5000K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UN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 xml:space="preserve">Suministro e instalación tubería EMT 3/4" 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PINTURA Y ADICIONALES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y aplicación de pintura en vinilo tipo 1 tres manos incluyen estuco, filos y dilataciones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318,0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Suministro y aplicación de pintura en esmalte para puertas existentes incluye filos y dilataciones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18,0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Reparación piso en tableta de vinilo ancho 0,15 M incluye retiro, alistado y afinado en piso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Reparación piso en tableta de piedra natural (mármol) ancho 0,20 M incluye retiro, alistado y afinado en piso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ML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sz w:val="20"/>
                <w:szCs w:val="20"/>
              </w:rPr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384"/>
        </w:trPr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SUBTOTAL OFICINAS PRIMER PISO</w:t>
            </w:r>
          </w:p>
        </w:tc>
        <w:tc>
          <w:tcPr>
            <w:tcW w:w="6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right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285"/>
        </w:trPr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TOTAL, COSTO DIRECTO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285"/>
        </w:trPr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ADMINISTRACION  12%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285"/>
        </w:trPr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IMPREVISTOS 5%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285"/>
        </w:trPr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UTILIDAD 5%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285"/>
        </w:trPr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TOTAL, CON A.I.U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285"/>
        </w:trPr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IVA 16% SOBRE UTILIDAD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5231" w:rsidRPr="00DE5231" w:rsidTr="00371D9E">
        <w:trPr>
          <w:trHeight w:val="285"/>
        </w:trPr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VALOR TOTAL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DE5231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231" w:rsidRPr="00DE5231" w:rsidRDefault="00DE5231" w:rsidP="00FD650F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E5231" w:rsidRDefault="00DE5231" w:rsidP="00F6761F">
      <w:pPr>
        <w:widowControl w:val="0"/>
        <w:autoSpaceDE w:val="0"/>
        <w:autoSpaceDN w:val="0"/>
        <w:adjustRightInd w:val="0"/>
        <w:jc w:val="center"/>
      </w:pPr>
    </w:p>
    <w:p w:rsidR="00387057" w:rsidRPr="00387057" w:rsidRDefault="00387057" w:rsidP="00387057">
      <w:pPr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387057">
        <w:rPr>
          <w:rFonts w:ascii="Lucida Sans Unicode" w:hAnsi="Lucida Sans Unicode" w:cs="Lucida Sans Unicode"/>
          <w:b/>
          <w:color w:val="000000"/>
          <w:sz w:val="20"/>
          <w:szCs w:val="20"/>
        </w:rPr>
        <w:t>NOTA 1:</w:t>
      </w:r>
      <w:r w:rsidRPr="00387057">
        <w:rPr>
          <w:rFonts w:ascii="Lucida Sans Unicode" w:hAnsi="Lucida Sans Unicode" w:cs="Lucida Sans Unicode"/>
          <w:color w:val="000000"/>
          <w:sz w:val="20"/>
          <w:szCs w:val="20"/>
        </w:rPr>
        <w:t xml:space="preserve"> Todas las adecuaciones se deben ajustar a lo indicado en las normas vigentes para construcciones en salud,  Resolución 2003 de 2014 del </w:t>
      </w:r>
      <w:r w:rsidRPr="00387057">
        <w:rPr>
          <w:rFonts w:ascii="Lucida Sans Unicode" w:hAnsi="Lucida Sans Unicode" w:cs="Lucida Sans Unicode"/>
          <w:sz w:val="20"/>
          <w:szCs w:val="20"/>
        </w:rPr>
        <w:t>Ministerio de Salud y Protección Social</w:t>
      </w:r>
      <w:r w:rsidRPr="00387057">
        <w:rPr>
          <w:rFonts w:ascii="Lucida Sans Unicode" w:hAnsi="Lucida Sans Unicode" w:cs="Lucida Sans Unicode"/>
          <w:color w:val="000000"/>
          <w:sz w:val="20"/>
          <w:szCs w:val="20"/>
        </w:rPr>
        <w:t xml:space="preserve">, Resolución 4445 de 1996 del </w:t>
      </w:r>
      <w:r w:rsidRPr="00387057">
        <w:rPr>
          <w:rFonts w:ascii="Lucida Sans Unicode" w:hAnsi="Lucida Sans Unicode" w:cs="Lucida Sans Unicode"/>
          <w:sz w:val="20"/>
          <w:szCs w:val="20"/>
        </w:rPr>
        <w:t>Ministerio de Salud y Protección Social</w:t>
      </w:r>
      <w:r w:rsidRPr="00387057">
        <w:rPr>
          <w:rFonts w:ascii="Lucida Sans Unicode" w:hAnsi="Lucida Sans Unicode" w:cs="Lucida Sans Unicode"/>
          <w:color w:val="000000"/>
          <w:sz w:val="20"/>
          <w:szCs w:val="20"/>
        </w:rPr>
        <w:t>, RETIE, RETILAP y  demás normas concordantes.</w:t>
      </w:r>
    </w:p>
    <w:p w:rsidR="00387057" w:rsidRPr="00387057" w:rsidRDefault="00387057" w:rsidP="00387057">
      <w:pPr>
        <w:pStyle w:val="Textoindependiente"/>
        <w:rPr>
          <w:rFonts w:ascii="Lucida Sans Unicode" w:hAnsi="Lucida Sans Unicode" w:cs="Lucida Sans Unicode"/>
        </w:rPr>
      </w:pPr>
    </w:p>
    <w:p w:rsidR="00387057" w:rsidRPr="00387057" w:rsidRDefault="00387057" w:rsidP="00387057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387057">
        <w:rPr>
          <w:rFonts w:ascii="Lucida Sans Unicode" w:hAnsi="Lucida Sans Unicode" w:cs="Lucida Sans Unicode"/>
          <w:b/>
          <w:bCs/>
          <w:sz w:val="20"/>
          <w:szCs w:val="20"/>
        </w:rPr>
        <w:t>NOTA 2:</w:t>
      </w:r>
      <w:r w:rsidRPr="00387057">
        <w:rPr>
          <w:rFonts w:ascii="Lucida Sans Unicode" w:hAnsi="Lucida Sans Unicode" w:cs="Lucida Sans Unicode"/>
          <w:sz w:val="20"/>
          <w:szCs w:val="20"/>
        </w:rPr>
        <w:t xml:space="preserve"> El esquema propuesto de AIU y su distribución no es modificable: el estándar aceptado es del 22%. No se aceptan valores menores o mayores y la distribución será 12% para gastos administrativos, 5% para imprevistos y 5% para utilidad.</w:t>
      </w:r>
    </w:p>
    <w:p w:rsidR="00387057" w:rsidRPr="00387057" w:rsidRDefault="00387057" w:rsidP="00387057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87057" w:rsidRPr="00387057" w:rsidRDefault="00387057" w:rsidP="00387057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387057">
        <w:rPr>
          <w:rFonts w:ascii="Lucida Sans Unicode" w:hAnsi="Lucida Sans Unicode" w:cs="Lucida Sans Unicode"/>
          <w:sz w:val="20"/>
          <w:szCs w:val="20"/>
        </w:rPr>
        <w:t>Los imprevistos deben ser debidamente justificados y aprobados por el Instituto Nacional de Cancerología ESE, en los imprevistos se incluyen actividades o novedades que aparezcan en el curso de la obra y con los que no se contaba al inicio y que están relacionados con el alcance de las obras. Antes de generar eventuales valores adicionales, se debe haber evaluado el criterio de aplicación de imprevistos y realizar su aplicación hasta el agotamiento de dicho valor.</w:t>
      </w:r>
    </w:p>
    <w:p w:rsidR="00387057" w:rsidRDefault="00387057" w:rsidP="00F6761F">
      <w:pPr>
        <w:widowControl w:val="0"/>
        <w:autoSpaceDE w:val="0"/>
        <w:autoSpaceDN w:val="0"/>
        <w:adjustRightInd w:val="0"/>
        <w:jc w:val="center"/>
      </w:pPr>
    </w:p>
    <w:sectPr w:rsidR="00387057" w:rsidSect="00A749A7">
      <w:headerReference w:type="default" r:id="rId7"/>
      <w:footerReference w:type="even" r:id="rId8"/>
      <w:footerReference w:type="default" r:id="rId9"/>
      <w:pgSz w:w="12242" w:h="18722" w:code="125"/>
      <w:pgMar w:top="2370" w:right="1043" w:bottom="1134" w:left="993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6EB" w:rsidRDefault="002F66EB">
      <w:r>
        <w:separator/>
      </w:r>
    </w:p>
  </w:endnote>
  <w:endnote w:type="continuationSeparator" w:id="0">
    <w:p w:rsidR="002F66EB" w:rsidRDefault="002F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E" w:rsidRDefault="006971FD" w:rsidP="006F59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590E" w:rsidRDefault="00A749A7" w:rsidP="006F59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E" w:rsidRPr="00C06AA7" w:rsidRDefault="0043025C" w:rsidP="006F590E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063859C4" wp14:editId="3AD87371">
          <wp:extent cx="5941060" cy="668655"/>
          <wp:effectExtent l="0" t="0" r="254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6EB" w:rsidRDefault="002F66EB">
      <w:r>
        <w:separator/>
      </w:r>
    </w:p>
  </w:footnote>
  <w:footnote w:type="continuationSeparator" w:id="0">
    <w:p w:rsidR="002F66EB" w:rsidRDefault="002F6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E" w:rsidRDefault="006971FD" w:rsidP="006F590E">
    <w:pPr>
      <w:pStyle w:val="Encabezado"/>
      <w:rPr>
        <w:sz w:val="18"/>
        <w:szCs w:val="18"/>
      </w:rPr>
    </w:pPr>
    <w:r>
      <w:rPr>
        <w:noProof/>
        <w:lang w:val="es-CO" w:eastAsia="es-CO"/>
      </w:rPr>
      <w:drawing>
        <wp:anchor distT="36576" distB="36576" distL="36576" distR="36576" simplePos="0" relativeHeight="251657216" behindDoc="0" locked="0" layoutInCell="1" allowOverlap="1" wp14:anchorId="2C2696D9" wp14:editId="5F75BF26">
          <wp:simplePos x="0" y="0"/>
          <wp:positionH relativeFrom="column">
            <wp:posOffset>4189233</wp:posOffset>
          </wp:positionH>
          <wp:positionV relativeFrom="paragraph">
            <wp:posOffset>-89700</wp:posOffset>
          </wp:positionV>
          <wp:extent cx="2594604" cy="898498"/>
          <wp:effectExtent l="0" t="0" r="0" b="0"/>
          <wp:wrapNone/>
          <wp:docPr id="23" name="Imagen 23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910" cy="915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90E" w:rsidRDefault="006971FD" w:rsidP="006F590E">
    <w:pPr>
      <w:pStyle w:val="Encabezado"/>
      <w:jc w:val="right"/>
      <w:rPr>
        <w:rStyle w:val="Nmerodepgina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A749A7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A749A7">
      <w:rPr>
        <w:rStyle w:val="Nmerodepgina"/>
        <w:noProof/>
        <w:sz w:val="18"/>
        <w:szCs w:val="18"/>
      </w:rPr>
      <w:t>8</w:t>
    </w:r>
    <w:r>
      <w:rPr>
        <w:rStyle w:val="Nmerodepgina"/>
        <w:sz w:val="18"/>
        <w:szCs w:val="18"/>
      </w:rPr>
      <w:fldChar w:fldCharType="end"/>
    </w:r>
  </w:p>
  <w:p w:rsidR="006F590E" w:rsidRDefault="00A749A7" w:rsidP="006F590E">
    <w:pPr>
      <w:pStyle w:val="Encabezado"/>
      <w:jc w:val="right"/>
      <w:rPr>
        <w:rStyle w:val="Nmerodepgina"/>
        <w:sz w:val="18"/>
        <w:szCs w:val="18"/>
      </w:rPr>
    </w:pPr>
  </w:p>
  <w:p w:rsidR="006F590E" w:rsidRDefault="00A749A7" w:rsidP="006F590E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</w:p>
  <w:p w:rsidR="0043025C" w:rsidRDefault="0043025C" w:rsidP="00DE5231">
    <w:pPr>
      <w:rPr>
        <w:rFonts w:ascii="Lucida Sans Unicode" w:hAnsi="Lucida Sans Unicode" w:cs="Lucida Sans Unicode"/>
        <w:b/>
        <w:sz w:val="20"/>
        <w:szCs w:val="20"/>
        <w:lang w:val="es-ES_tradnl"/>
      </w:rPr>
    </w:pPr>
  </w:p>
  <w:p w:rsidR="006F590E" w:rsidRDefault="006971FD" w:rsidP="006F590E">
    <w:pPr>
      <w:jc w:val="center"/>
      <w:rPr>
        <w:rFonts w:ascii="Lucida Sans Unicode" w:hAnsi="Lucida Sans Unicode" w:cs="Lucida Sans Unicode"/>
        <w:b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</w:t>
    </w:r>
    <w:r w:rsidR="0043025C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PÚBLICA </w:t>
    </w:r>
    <w:r w:rsidR="0043025C"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No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. </w:t>
    </w:r>
    <w:r w:rsidR="00371D9E">
      <w:rPr>
        <w:rFonts w:ascii="Lucida Sans Unicode" w:hAnsi="Lucida Sans Unicode" w:cs="Lucida Sans Unicode"/>
        <w:b/>
        <w:sz w:val="20"/>
        <w:szCs w:val="20"/>
        <w:lang w:val="es-ES_tradnl"/>
      </w:rPr>
      <w:t>07</w:t>
    </w:r>
    <w:r w:rsidR="00CC20A6">
      <w:rPr>
        <w:rFonts w:ascii="Lucida Sans Unicode" w:hAnsi="Lucida Sans Unicode" w:cs="Lucida Sans Unicode"/>
        <w:b/>
        <w:sz w:val="20"/>
        <w:szCs w:val="20"/>
        <w:lang w:val="es-ES_tradnl"/>
      </w:rPr>
      <w:t>3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 w:rsidR="00075D98">
      <w:rPr>
        <w:rFonts w:ascii="Lucida Sans Unicode" w:hAnsi="Lucida Sans Unicode" w:cs="Lucida Sans Unicode"/>
        <w:b/>
        <w:sz w:val="20"/>
        <w:szCs w:val="20"/>
        <w:lang w:val="es-ES_tradnl"/>
      </w:rPr>
      <w:t>6</w:t>
    </w:r>
  </w:p>
  <w:p w:rsidR="006F590E" w:rsidRPr="0009099F" w:rsidRDefault="006971FD" w:rsidP="006F590E">
    <w:pPr>
      <w:ind w:left="7080" w:firstLine="708"/>
      <w:jc w:val="center"/>
      <w:rPr>
        <w:rFonts w:ascii="Lucida Sans Unicode" w:hAnsi="Lucida Sans Unicode" w:cs="Lucida Sans Unicode"/>
      </w:rPr>
    </w:pPr>
    <w:r w:rsidRPr="0009099F">
      <w:rPr>
        <w:rFonts w:ascii="Lucida Sans Unicode" w:hAnsi="Lucida Sans Unicode" w:cs="Lucida Sans Unicode"/>
        <w:sz w:val="18"/>
        <w:szCs w:val="18"/>
      </w:rPr>
      <w:t xml:space="preserve">Página </w: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instrText xml:space="preserve"> PAGE </w:instrTex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A749A7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t xml:space="preserve"> de </w: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instrText xml:space="preserve"> NUMPAGES </w:instrTex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A749A7">
      <w:rPr>
        <w:rStyle w:val="Nmerodepgina"/>
        <w:rFonts w:ascii="Lucida Sans Unicode" w:hAnsi="Lucida Sans Unicode" w:cs="Lucida Sans Unicode"/>
        <w:noProof/>
        <w:sz w:val="18"/>
        <w:szCs w:val="18"/>
      </w:rPr>
      <w:t>8</w:t>
    </w:r>
    <w:r w:rsidRPr="0009099F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A3162"/>
    <w:multiLevelType w:val="hybridMultilevel"/>
    <w:tmpl w:val="5EEE52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05DCE"/>
    <w:multiLevelType w:val="hybridMultilevel"/>
    <w:tmpl w:val="B97AF42E"/>
    <w:lvl w:ilvl="0" w:tplc="3654C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91CCF"/>
    <w:multiLevelType w:val="hybridMultilevel"/>
    <w:tmpl w:val="A25A040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1F"/>
    <w:rsid w:val="00075D98"/>
    <w:rsid w:val="00090F6F"/>
    <w:rsid w:val="000A3D75"/>
    <w:rsid w:val="00111667"/>
    <w:rsid w:val="002F66EB"/>
    <w:rsid w:val="00371D9E"/>
    <w:rsid w:val="00387057"/>
    <w:rsid w:val="003E2B66"/>
    <w:rsid w:val="0041385D"/>
    <w:rsid w:val="0043025C"/>
    <w:rsid w:val="006971FD"/>
    <w:rsid w:val="00A749A7"/>
    <w:rsid w:val="00B93133"/>
    <w:rsid w:val="00BB57E5"/>
    <w:rsid w:val="00CC20A6"/>
    <w:rsid w:val="00D37195"/>
    <w:rsid w:val="00DE5231"/>
    <w:rsid w:val="00F6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5:docId w15:val="{239E7FF4-40D5-4ED5-A1AB-097C1699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6761F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6761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676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6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6761F"/>
  </w:style>
  <w:style w:type="paragraph" w:styleId="Prrafodelista">
    <w:name w:val="List Paragraph"/>
    <w:basedOn w:val="Normal"/>
    <w:uiPriority w:val="34"/>
    <w:qFormat/>
    <w:rsid w:val="00F6761F"/>
    <w:pPr>
      <w:ind w:left="720"/>
      <w:contextualSpacing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6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61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387057"/>
    <w:pPr>
      <w:jc w:val="both"/>
    </w:pPr>
    <w:rPr>
      <w:sz w:val="20"/>
      <w:szCs w:val="20"/>
      <w:lang w:eastAsia="es-CO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387057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2295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Diego Fernando Rojas Espinosa</cp:lastModifiedBy>
  <cp:revision>14</cp:revision>
  <cp:lastPrinted>2016-09-28T14:59:00Z</cp:lastPrinted>
  <dcterms:created xsi:type="dcterms:W3CDTF">2015-11-30T12:49:00Z</dcterms:created>
  <dcterms:modified xsi:type="dcterms:W3CDTF">2016-09-28T15:03:00Z</dcterms:modified>
</cp:coreProperties>
</file>