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Pr="00B34DC8" w:rsidRDefault="00D072F0" w:rsidP="00D072F0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A070AD">
        <w:rPr>
          <w:rFonts w:ascii="Lucida Sans Unicode" w:hAnsi="Lucida Sans Unicode" w:cs="Lucida Sans Unicode"/>
          <w:sz w:val="20"/>
          <w:szCs w:val="20"/>
          <w:lang w:val="es-ES_tradnl"/>
        </w:rPr>
        <w:t>121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A11A0E">
        <w:rPr>
          <w:rFonts w:ascii="Lucida Sans Unicode" w:hAnsi="Lucida Sans Unicode" w:cs="Lucida Sans Unicode"/>
          <w:sz w:val="20"/>
          <w:szCs w:val="20"/>
          <w:lang w:val="es-ES_tradnl"/>
        </w:rPr>
        <w:t>2015</w:t>
      </w:r>
    </w:p>
    <w:p w:rsidR="00D072F0" w:rsidRDefault="00D072F0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Pr="005A036E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A070AD" w:rsidRPr="00C308BB" w:rsidRDefault="00A070AD" w:rsidP="00A070AD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C308BB">
        <w:rPr>
          <w:rFonts w:ascii="Lucida Sans Unicode" w:hAnsi="Lucida Sans Unicode" w:cs="Lucida Sans Unicode"/>
          <w:b/>
          <w:sz w:val="20"/>
          <w:szCs w:val="20"/>
          <w:lang w:val="es-ES_tradnl"/>
        </w:rPr>
        <w:t>EL INSTITUTO NACIONAL DE CANCEROLOGÍA – EMPRESA SOCIAL DEL ESTADO, INVITA A PRESENTAR LA  PROPUESTA PARA LA ADECUACIÓN Y REMODELACIÓN DEL ÁREA DE PEDIATRÍA</w:t>
      </w:r>
    </w:p>
    <w:p w:rsidR="005F1272" w:rsidRDefault="00A070AD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="005F127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05081" w:rsidRDefault="00A05081" w:rsidP="005F127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898"/>
        <w:gridCol w:w="1113"/>
        <w:gridCol w:w="770"/>
        <w:gridCol w:w="1412"/>
      </w:tblGrid>
      <w:tr w:rsidR="00A070AD" w:rsidRPr="009E4F7B" w:rsidTr="00A070AD">
        <w:trPr>
          <w:trHeight w:val="300"/>
          <w:tblHeader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A070AD" w:rsidRPr="009E4F7B" w:rsidTr="00A070AD">
        <w:trPr>
          <w:trHeight w:val="54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Pintura </w:t>
            </w: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epóxica</w:t>
            </w:r>
            <w:proofErr w:type="spellEnd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 para techos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112.07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55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Pintura </w:t>
            </w: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epóxica</w:t>
            </w:r>
            <w:proofErr w:type="spellEnd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 para muros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132.06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61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Pintura en vinilo para muro decorado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66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Pintura para puertas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54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Pintura para marco</w:t>
            </w:r>
            <w:bookmarkStart w:id="0" w:name="_GoBack"/>
            <w:bookmarkEnd w:id="0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75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Reubicación de puerta, incluye demolición de muro en </w:t>
            </w: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drywall</w:t>
            </w:r>
            <w:proofErr w:type="spellEnd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 dos caras, estuco y pintura de muro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GBL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81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Suministro e instalación de mediacaña en PVC estucada y pintada con pintura </w:t>
            </w: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epóxica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61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sz w:val="22"/>
                <w:szCs w:val="22"/>
              </w:rPr>
            </w:pPr>
            <w:r w:rsidRPr="009E4F7B">
              <w:rPr>
                <w:rFonts w:ascii="Calibri" w:hAnsi="Calibri"/>
                <w:sz w:val="22"/>
                <w:szCs w:val="22"/>
              </w:rPr>
              <w:t>Suministro e instalación de avisos en acrílico según diseño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4F7B">
              <w:rPr>
                <w:rFonts w:ascii="Calibri" w:hAnsi="Calibri"/>
                <w:sz w:val="22"/>
                <w:szCs w:val="22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4F7B"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sz w:val="22"/>
                <w:szCs w:val="22"/>
              </w:rPr>
            </w:pPr>
            <w:r w:rsidRPr="009E4F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sz w:val="22"/>
                <w:szCs w:val="22"/>
              </w:rPr>
            </w:pPr>
            <w:r w:rsidRPr="009E4F7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81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Suministro e instalación de rejas en aluminio para ventanas según diseño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199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Poceta</w:t>
            </w:r>
            <w:proofErr w:type="spellEnd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 para el cuarto intermedio de residuos (donde quedará ubicado el cuarto de aseo) Quinto piso Edificio Consulta Externa, incluye demolición de </w:t>
            </w: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poceta</w:t>
            </w:r>
            <w:proofErr w:type="spellEnd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 xml:space="preserve"> existente en cuarto de aseo (donde quedará ubicado cuarto intermedio de residuos) e instalación de enchape donde sea necesario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GBL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199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Obras necesarias para la reubicación de equipo en el consultorio de </w:t>
            </w:r>
            <w:proofErr w:type="spellStart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odontopediatría</w:t>
            </w:r>
            <w:proofErr w:type="spellEnd"/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, incluye instalaciones hidráulicas, eléctricas y demoliciones necesarias que se requieran para su adecuado funcionamiento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GBL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Pintura para pasamanos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12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Adecuación de dos duchas para baños pacientes, incluye demolición de enchape existente, red hidráulica agua fría, desagües y posterior instalación de enchape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GBL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61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Suministro e instalación de registro 1/2" AC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61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Suministro e instalación de red hidráulica 1/2" AC en cobre tipo pesado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615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Suministro e instalación de red hidráulica 3/4" AC en cobre tipo pesado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lang w:eastAsia="es-CO"/>
              </w:rPr>
              <w:t>TOTAL COSTO DIRECTO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Administración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12%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Imprevistos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8%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Utilidad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jc w:val="right"/>
              <w:rPr>
                <w:rFonts w:ascii="Calibri" w:hAnsi="Calibri"/>
                <w:color w:val="000000"/>
                <w:lang w:eastAsia="es-CO"/>
              </w:rPr>
            </w:pPr>
            <w:r w:rsidRPr="009E4F7B">
              <w:rPr>
                <w:rFonts w:ascii="Calibri" w:hAnsi="Calibri"/>
                <w:color w:val="000000"/>
                <w:lang w:eastAsia="es-CO"/>
              </w:rPr>
              <w:t>5%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AD" w:rsidRPr="009E4F7B" w:rsidRDefault="00A070AD" w:rsidP="00151AD0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0AD" w:rsidRPr="009E4F7B" w:rsidTr="00A070AD">
        <w:trPr>
          <w:trHeight w:val="300"/>
        </w:trPr>
        <w:tc>
          <w:tcPr>
            <w:tcW w:w="2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0AD" w:rsidRPr="009E4F7B" w:rsidRDefault="00A070AD" w:rsidP="00151AD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4F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9C3F0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87" w:rsidRDefault="00462187" w:rsidP="007C6955">
      <w:r>
        <w:separator/>
      </w:r>
    </w:p>
  </w:endnote>
  <w:endnote w:type="continuationSeparator" w:id="0">
    <w:p w:rsidR="00462187" w:rsidRDefault="00462187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651446B" wp14:editId="36BA9E81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87" w:rsidRDefault="00462187" w:rsidP="007C6955">
      <w:r>
        <w:separator/>
      </w:r>
    </w:p>
  </w:footnote>
  <w:footnote w:type="continuationSeparator" w:id="0">
    <w:p w:rsidR="00462187" w:rsidRDefault="00462187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46218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557667" cy="7709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77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46218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A7A55"/>
    <w:multiLevelType w:val="hybridMultilevel"/>
    <w:tmpl w:val="982E9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4557F"/>
    <w:rsid w:val="00050165"/>
    <w:rsid w:val="0005186B"/>
    <w:rsid w:val="0013417A"/>
    <w:rsid w:val="00152D3D"/>
    <w:rsid w:val="001C5D4C"/>
    <w:rsid w:val="001D539B"/>
    <w:rsid w:val="001D551F"/>
    <w:rsid w:val="001E2419"/>
    <w:rsid w:val="00200BD4"/>
    <w:rsid w:val="00215A1F"/>
    <w:rsid w:val="00277E33"/>
    <w:rsid w:val="003116A2"/>
    <w:rsid w:val="003C13FA"/>
    <w:rsid w:val="003E7DC6"/>
    <w:rsid w:val="003F289B"/>
    <w:rsid w:val="00462187"/>
    <w:rsid w:val="00486D49"/>
    <w:rsid w:val="00534E05"/>
    <w:rsid w:val="005379BC"/>
    <w:rsid w:val="005854A0"/>
    <w:rsid w:val="0059517B"/>
    <w:rsid w:val="005F1272"/>
    <w:rsid w:val="006248C4"/>
    <w:rsid w:val="006427B7"/>
    <w:rsid w:val="006740A7"/>
    <w:rsid w:val="00685102"/>
    <w:rsid w:val="006B13F3"/>
    <w:rsid w:val="006C250D"/>
    <w:rsid w:val="006D1E01"/>
    <w:rsid w:val="0076339B"/>
    <w:rsid w:val="007A0970"/>
    <w:rsid w:val="007A2A0A"/>
    <w:rsid w:val="007C6955"/>
    <w:rsid w:val="00816590"/>
    <w:rsid w:val="008225B4"/>
    <w:rsid w:val="008249F2"/>
    <w:rsid w:val="00884F93"/>
    <w:rsid w:val="00891A53"/>
    <w:rsid w:val="008E6414"/>
    <w:rsid w:val="00900682"/>
    <w:rsid w:val="00984A56"/>
    <w:rsid w:val="009C3F04"/>
    <w:rsid w:val="009E4A57"/>
    <w:rsid w:val="009F5EA7"/>
    <w:rsid w:val="00A05081"/>
    <w:rsid w:val="00A070AD"/>
    <w:rsid w:val="00A11A0E"/>
    <w:rsid w:val="00A21BE5"/>
    <w:rsid w:val="00A72599"/>
    <w:rsid w:val="00A74756"/>
    <w:rsid w:val="00A81734"/>
    <w:rsid w:val="00AE3A4F"/>
    <w:rsid w:val="00B63F80"/>
    <w:rsid w:val="00B660FE"/>
    <w:rsid w:val="00C136C4"/>
    <w:rsid w:val="00CB7CBC"/>
    <w:rsid w:val="00CC117E"/>
    <w:rsid w:val="00D072F0"/>
    <w:rsid w:val="00D330E7"/>
    <w:rsid w:val="00D54060"/>
    <w:rsid w:val="00D67462"/>
    <w:rsid w:val="00D71F6C"/>
    <w:rsid w:val="00D7692F"/>
    <w:rsid w:val="00DC70A5"/>
    <w:rsid w:val="00DD4CC4"/>
    <w:rsid w:val="00E1441B"/>
    <w:rsid w:val="00E56398"/>
    <w:rsid w:val="00E63E93"/>
    <w:rsid w:val="00E75FA2"/>
    <w:rsid w:val="00E831CF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FA39-45B1-46F6-BE06-1AD9CFF7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18</cp:revision>
  <cp:lastPrinted>2015-02-19T20:44:00Z</cp:lastPrinted>
  <dcterms:created xsi:type="dcterms:W3CDTF">2015-02-19T13:07:00Z</dcterms:created>
  <dcterms:modified xsi:type="dcterms:W3CDTF">2015-06-17T13:17:00Z</dcterms:modified>
</cp:coreProperties>
</file>